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line="276" w:lineRule="auto"/>
        <w:jc w:val="center"/>
        <w:rPr>
          <w:color w:val="000000"/>
          <w:sz w:val="52"/>
          <w:szCs w:val="52"/>
        </w:rPr>
      </w:pPr>
      <w:r w:rsidDel="00000000" w:rsidR="00000000" w:rsidRPr="00000000">
        <w:rPr>
          <w:color w:val="000000"/>
          <w:sz w:val="52"/>
          <w:szCs w:val="52"/>
          <w:rtl w:val="0"/>
        </w:rPr>
        <w:t xml:space="preserve">Environmental Management Performance Review Policy   </w:t>
      </w:r>
    </w:p>
    <w:p w:rsidR="00000000" w:rsidDel="00000000" w:rsidP="00000000" w:rsidRDefault="00000000" w:rsidRPr="00000000" w14:paraId="00000002">
      <w:pPr>
        <w:spacing w:after="120" w:line="276" w:lineRule="auto"/>
        <w:jc w:val="center"/>
        <w:rPr>
          <w:b w:val="1"/>
          <w:color w:val="000000"/>
        </w:rPr>
      </w:pPr>
      <w:r w:rsidDel="00000000" w:rsidR="00000000" w:rsidRPr="00000000">
        <w:rPr>
          <w:b w:val="1"/>
          <w:color w:val="000000"/>
          <w:rtl w:val="0"/>
        </w:rPr>
        <w:t xml:space="preserve">Gas &amp; Green Energy Ltd</w:t>
      </w:r>
    </w:p>
    <w:p w:rsidR="00000000" w:rsidDel="00000000" w:rsidP="00000000" w:rsidRDefault="00000000" w:rsidRPr="00000000" w14:paraId="00000003">
      <w:pPr>
        <w:spacing w:after="120" w:line="276" w:lineRule="auto"/>
        <w:rPr>
          <w:color w:val="000000"/>
        </w:rPr>
      </w:pPr>
      <w:r w:rsidDel="00000000" w:rsidR="00000000" w:rsidRPr="00000000">
        <w:rPr>
          <w:rtl w:val="0"/>
        </w:rPr>
      </w:r>
    </w:p>
    <w:p w:rsidR="00000000" w:rsidDel="00000000" w:rsidP="00000000" w:rsidRDefault="00000000" w:rsidRPr="00000000" w14:paraId="00000004">
      <w:pPr>
        <w:spacing w:after="120" w:line="276" w:lineRule="auto"/>
        <w:rPr>
          <w:b w:val="1"/>
          <w:color w:val="000000"/>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637</wp:posOffset>
                </wp:positionH>
                <wp:positionV relativeFrom="paragraph">
                  <wp:posOffset>32385</wp:posOffset>
                </wp:positionV>
                <wp:extent cx="0" cy="12700"/>
                <wp:effectExtent b="0" l="0" r="0" t="0"/>
                <wp:wrapNone/>
                <wp:docPr id="1737997662" name=""/>
                <a:graphic>
                  <a:graphicData uri="http://schemas.microsoft.com/office/word/2010/wordprocessingShape">
                    <wps:wsp>
                      <wps:cNvCnPr/>
                      <wps:spPr>
                        <a:xfrm>
                          <a:off x="2145918" y="3780000"/>
                          <a:ext cx="6400165" cy="0"/>
                        </a:xfrm>
                        <a:prstGeom prst="straightConnector1">
                          <a:avLst/>
                        </a:prstGeom>
                        <a:noFill/>
                        <a:ln cap="flat" cmpd="sng" w="9525">
                          <a:solidFill>
                            <a:schemeClr val="accent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637</wp:posOffset>
                </wp:positionH>
                <wp:positionV relativeFrom="paragraph">
                  <wp:posOffset>32385</wp:posOffset>
                </wp:positionV>
                <wp:extent cx="0" cy="12700"/>
                <wp:effectExtent b="0" l="0" r="0" t="0"/>
                <wp:wrapNone/>
                <wp:docPr id="1737997662"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05">
      <w:pPr>
        <w:spacing w:after="120" w:line="360" w:lineRule="auto"/>
        <w:rPr>
          <w:b w:val="1"/>
          <w:color w:val="000000"/>
        </w:rPr>
      </w:pPr>
      <w:r w:rsidDel="00000000" w:rsidR="00000000" w:rsidRPr="00000000">
        <w:rPr>
          <w:b w:val="1"/>
          <w:color w:val="000000"/>
          <w:rtl w:val="0"/>
        </w:rPr>
        <w:t xml:space="preserve">1. Introduction</w:t>
      </w:r>
    </w:p>
    <w:p w:rsidR="00000000" w:rsidDel="00000000" w:rsidP="00000000" w:rsidRDefault="00000000" w:rsidRPr="00000000" w14:paraId="00000006">
      <w:pPr>
        <w:spacing w:after="120" w:line="360" w:lineRule="auto"/>
        <w:rPr>
          <w:color w:val="000000"/>
        </w:rPr>
      </w:pPr>
      <w:r w:rsidDel="00000000" w:rsidR="00000000" w:rsidRPr="00000000">
        <w:rPr>
          <w:color w:val="000000"/>
          <w:rtl w:val="0"/>
        </w:rPr>
        <w:t xml:space="preserve">GAS &amp; GREEN ENERGY is committed to continual improvement in environmental performance and ensuring that all operations are conducted with minimal environmental impact. To meet both legal obligations and industry expectations, GAS &amp; GREEN ENERGY has developed a robust framework for monitoring, reviewing, and improving environmental performance across all projects and operational activities.</w:t>
      </w:r>
    </w:p>
    <w:p w:rsidR="00000000" w:rsidDel="00000000" w:rsidP="00000000" w:rsidRDefault="00000000" w:rsidRPr="00000000" w14:paraId="00000007">
      <w:pPr>
        <w:spacing w:after="120" w:line="360" w:lineRule="auto"/>
        <w:rPr>
          <w:color w:val="000000"/>
        </w:rPr>
      </w:pPr>
      <w:r w:rsidDel="00000000" w:rsidR="00000000" w:rsidRPr="00000000">
        <w:rPr>
          <w:color w:val="000000"/>
          <w:rtl w:val="0"/>
        </w:rPr>
        <w:t xml:space="preserve">This document outlines how GAS &amp; GREEN ENERGY systematically checks compliance, conducts performance reviews, and takes corrective action to drive ongoing environmental improvement.</w:t>
      </w:r>
    </w:p>
    <w:p w:rsidR="00000000" w:rsidDel="00000000" w:rsidP="00000000" w:rsidRDefault="00000000" w:rsidRPr="00000000" w14:paraId="00000008">
      <w:pPr>
        <w:spacing w:after="120" w:line="360" w:lineRule="auto"/>
        <w:rPr>
          <w:color w:val="00000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9">
      <w:pPr>
        <w:spacing w:after="120" w:line="360" w:lineRule="auto"/>
        <w:rPr>
          <w:b w:val="1"/>
          <w:color w:val="000000"/>
        </w:rPr>
      </w:pPr>
      <w:r w:rsidDel="00000000" w:rsidR="00000000" w:rsidRPr="00000000">
        <w:rPr>
          <w:b w:val="1"/>
          <w:color w:val="000000"/>
          <w:rtl w:val="0"/>
        </w:rPr>
        <w:t xml:space="preserve">2. Monitoring and Checking Environmental Performance</w:t>
      </w:r>
    </w:p>
    <w:p w:rsidR="00000000" w:rsidDel="00000000" w:rsidP="00000000" w:rsidRDefault="00000000" w:rsidRPr="00000000" w14:paraId="0000000A">
      <w:pPr>
        <w:spacing w:after="120" w:line="360" w:lineRule="auto"/>
        <w:rPr>
          <w:color w:val="000000"/>
        </w:rPr>
      </w:pPr>
      <w:r w:rsidDel="00000000" w:rsidR="00000000" w:rsidRPr="00000000">
        <w:rPr>
          <w:color w:val="000000"/>
          <w:rtl w:val="0"/>
        </w:rPr>
        <w:t xml:space="preserve">GAS &amp; GREEN ENERGY employs both proactive and reactive monitoring tools to evaluate environmental compliance and performance:</w:t>
      </w:r>
    </w:p>
    <w:p w:rsidR="00000000" w:rsidDel="00000000" w:rsidP="00000000" w:rsidRDefault="00000000" w:rsidRPr="00000000" w14:paraId="0000000B">
      <w:pPr>
        <w:numPr>
          <w:ilvl w:val="0"/>
          <w:numId w:val="1"/>
        </w:numPr>
        <w:spacing w:after="120" w:line="360" w:lineRule="auto"/>
        <w:ind w:left="720" w:hanging="360"/>
        <w:rPr>
          <w:color w:val="000000"/>
        </w:rPr>
      </w:pPr>
      <w:r w:rsidDel="00000000" w:rsidR="00000000" w:rsidRPr="00000000">
        <w:rPr>
          <w:color w:val="000000"/>
          <w:rtl w:val="0"/>
        </w:rPr>
        <w:t xml:space="preserve">Site Environmental Inspections: Carried out weekly by project managers and monthly by a senior compliance officer to check adherence to environmental controls (e.g., waste segregation, spill containment, dust and noise management, materials usage).</w:t>
      </w:r>
    </w:p>
    <w:p w:rsidR="00000000" w:rsidDel="00000000" w:rsidP="00000000" w:rsidRDefault="00000000" w:rsidRPr="00000000" w14:paraId="0000000C">
      <w:pPr>
        <w:numPr>
          <w:ilvl w:val="0"/>
          <w:numId w:val="1"/>
        </w:numPr>
        <w:spacing w:after="120" w:line="360" w:lineRule="auto"/>
        <w:ind w:left="720" w:hanging="360"/>
        <w:rPr>
          <w:color w:val="000000"/>
        </w:rPr>
      </w:pPr>
      <w:r w:rsidDel="00000000" w:rsidR="00000000" w:rsidRPr="00000000">
        <w:rPr>
          <w:color w:val="000000"/>
          <w:rtl w:val="0"/>
        </w:rPr>
        <w:t xml:space="preserve">Environmental Compliance Audits: Conducted quarterly using an internal audit checklist aligned with ISO 14001:2015 principles, regardless of formal certification. Audits assess performance against legislation, company policies, and contract-specific requirements.</w:t>
      </w:r>
    </w:p>
    <w:p w:rsidR="00000000" w:rsidDel="00000000" w:rsidP="00000000" w:rsidRDefault="00000000" w:rsidRPr="00000000" w14:paraId="0000000D">
      <w:pPr>
        <w:numPr>
          <w:ilvl w:val="0"/>
          <w:numId w:val="1"/>
        </w:numPr>
        <w:spacing w:after="120" w:line="360" w:lineRule="auto"/>
        <w:ind w:left="720" w:hanging="360"/>
        <w:rPr>
          <w:color w:val="000000"/>
        </w:rPr>
      </w:pPr>
      <w:r w:rsidDel="00000000" w:rsidR="00000000" w:rsidRPr="00000000">
        <w:rPr>
          <w:color w:val="000000"/>
          <w:rtl w:val="0"/>
        </w:rPr>
        <w:t xml:space="preserve">Waste Transfer Documentation and Reporting: All waste movements are logged and assessed against GAS &amp; GREEN ENERGY’s Waste Management Plan. Suppliers and waste carriers are required to provide duty-of-care documentation for audit purposes.</w:t>
      </w:r>
    </w:p>
    <w:p w:rsidR="00000000" w:rsidDel="00000000" w:rsidP="00000000" w:rsidRDefault="00000000" w:rsidRPr="00000000" w14:paraId="0000000E">
      <w:pPr>
        <w:numPr>
          <w:ilvl w:val="0"/>
          <w:numId w:val="1"/>
        </w:numPr>
        <w:spacing w:after="120" w:line="360" w:lineRule="auto"/>
        <w:ind w:left="720" w:hanging="360"/>
        <w:rPr>
          <w:color w:val="000000"/>
        </w:rPr>
      </w:pPr>
      <w:r w:rsidDel="00000000" w:rsidR="00000000" w:rsidRPr="00000000">
        <w:rPr>
          <w:color w:val="000000"/>
          <w:rtl w:val="0"/>
        </w:rPr>
        <w:t xml:space="preserve">Fleet Emissions Monitoring: GAS &amp; GREEN ENERGY tracks fleet fuel consumption, vehicle service schedules, and emissions output as part of its carbon footprint monitoring efforts.</w:t>
      </w:r>
    </w:p>
    <w:p w:rsidR="00000000" w:rsidDel="00000000" w:rsidP="00000000" w:rsidRDefault="00000000" w:rsidRPr="00000000" w14:paraId="0000000F">
      <w:pPr>
        <w:numPr>
          <w:ilvl w:val="0"/>
          <w:numId w:val="1"/>
        </w:numPr>
        <w:spacing w:after="120" w:line="360" w:lineRule="auto"/>
        <w:ind w:left="720" w:hanging="360"/>
        <w:rPr>
          <w:color w:val="000000"/>
        </w:rPr>
      </w:pPr>
      <w:r w:rsidDel="00000000" w:rsidR="00000000" w:rsidRPr="00000000">
        <w:rPr>
          <w:color w:val="000000"/>
          <w:rtl w:val="0"/>
        </w:rPr>
        <w:t xml:space="preserve">Toolbox Talks and Incident Reporting: Environmental topics are integrated into weekly toolbox talks, and all environmental incidents and near misses are recorded, reviewed, and followed up with root cause analysis and action plans.</w:t>
      </w:r>
    </w:p>
    <w:p w:rsidR="00000000" w:rsidDel="00000000" w:rsidP="00000000" w:rsidRDefault="00000000" w:rsidRPr="00000000" w14:paraId="00000010">
      <w:pPr>
        <w:spacing w:after="120" w:line="360" w:lineRule="auto"/>
        <w:rPr>
          <w:color w:val="00000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1">
      <w:pPr>
        <w:spacing w:after="120" w:line="360" w:lineRule="auto"/>
        <w:rPr>
          <w:b w:val="1"/>
          <w:color w:val="000000"/>
        </w:rPr>
      </w:pPr>
      <w:r w:rsidDel="00000000" w:rsidR="00000000" w:rsidRPr="00000000">
        <w:rPr>
          <w:b w:val="1"/>
          <w:color w:val="000000"/>
          <w:rtl w:val="0"/>
        </w:rPr>
        <w:t xml:space="preserve">3. Performance Review Framework</w:t>
      </w:r>
    </w:p>
    <w:p w:rsidR="00000000" w:rsidDel="00000000" w:rsidP="00000000" w:rsidRDefault="00000000" w:rsidRPr="00000000" w14:paraId="00000012">
      <w:pPr>
        <w:spacing w:after="120" w:line="360" w:lineRule="auto"/>
        <w:rPr>
          <w:color w:val="000000"/>
        </w:rPr>
      </w:pPr>
      <w:r w:rsidDel="00000000" w:rsidR="00000000" w:rsidRPr="00000000">
        <w:rPr>
          <w:color w:val="000000"/>
          <w:rtl w:val="0"/>
        </w:rPr>
        <w:t xml:space="preserve">GAS &amp; GREEN ENERGY conducts formal environmental performance reviews at both project and corporate levels:</w:t>
      </w:r>
    </w:p>
    <w:p w:rsidR="00000000" w:rsidDel="00000000" w:rsidP="00000000" w:rsidRDefault="00000000" w:rsidRPr="00000000" w14:paraId="00000013">
      <w:pPr>
        <w:numPr>
          <w:ilvl w:val="0"/>
          <w:numId w:val="2"/>
        </w:numPr>
        <w:spacing w:after="120" w:line="360" w:lineRule="auto"/>
        <w:ind w:left="720" w:hanging="360"/>
        <w:rPr>
          <w:color w:val="000000"/>
        </w:rPr>
      </w:pPr>
      <w:r w:rsidDel="00000000" w:rsidR="00000000" w:rsidRPr="00000000">
        <w:rPr>
          <w:color w:val="000000"/>
          <w:rtl w:val="0"/>
        </w:rPr>
        <w:t xml:space="preserve">Monthly Project Reviews: Project managers report environmental KPIs to the Compliance and Operations Manager. These reports include waste volumes, recycling rates, fuel usage, environmental complaints, and any breaches or near misses.</w:t>
      </w:r>
    </w:p>
    <w:p w:rsidR="00000000" w:rsidDel="00000000" w:rsidP="00000000" w:rsidRDefault="00000000" w:rsidRPr="00000000" w14:paraId="00000014">
      <w:pPr>
        <w:numPr>
          <w:ilvl w:val="0"/>
          <w:numId w:val="2"/>
        </w:numPr>
        <w:spacing w:after="120" w:line="360" w:lineRule="auto"/>
        <w:ind w:left="720" w:hanging="360"/>
        <w:rPr>
          <w:color w:val="000000"/>
        </w:rPr>
      </w:pPr>
      <w:r w:rsidDel="00000000" w:rsidR="00000000" w:rsidRPr="00000000">
        <w:rPr>
          <w:color w:val="000000"/>
          <w:rtl w:val="0"/>
        </w:rPr>
        <w:t xml:space="preserve">Annual Management Review: The senior management team conducts an annual review of environmental management performance. This includes analysis of trends, root causes of issues, lessons learned, and setting performance targets for the upcoming year.</w:t>
      </w:r>
    </w:p>
    <w:p w:rsidR="00000000" w:rsidDel="00000000" w:rsidP="00000000" w:rsidRDefault="00000000" w:rsidRPr="00000000" w14:paraId="00000015">
      <w:pPr>
        <w:numPr>
          <w:ilvl w:val="0"/>
          <w:numId w:val="2"/>
        </w:numPr>
        <w:spacing w:after="120" w:line="360" w:lineRule="auto"/>
        <w:ind w:left="720" w:hanging="360"/>
        <w:rPr>
          <w:color w:val="000000"/>
        </w:rPr>
      </w:pPr>
      <w:r w:rsidDel="00000000" w:rsidR="00000000" w:rsidRPr="00000000">
        <w:rPr>
          <w:color w:val="000000"/>
          <w:rtl w:val="0"/>
        </w:rPr>
        <w:t xml:space="preserve">Stakeholder Feedback: Client feedback, audits by principal contractors, and Considerate Constructors Scheme assessments are used to identify areas for improvement.</w:t>
      </w:r>
    </w:p>
    <w:p w:rsidR="00000000" w:rsidDel="00000000" w:rsidP="00000000" w:rsidRDefault="00000000" w:rsidRPr="00000000" w14:paraId="00000016">
      <w:pPr>
        <w:spacing w:after="120" w:line="360" w:lineRule="auto"/>
        <w:rPr>
          <w:color w:val="00000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7">
      <w:pPr>
        <w:spacing w:after="120" w:line="360" w:lineRule="auto"/>
        <w:rPr>
          <w:b w:val="1"/>
          <w:color w:val="000000"/>
        </w:rPr>
      </w:pPr>
      <w:r w:rsidDel="00000000" w:rsidR="00000000" w:rsidRPr="00000000">
        <w:rPr>
          <w:b w:val="1"/>
          <w:color w:val="000000"/>
          <w:rtl w:val="0"/>
        </w:rPr>
        <w:t xml:space="preserve">4. Corrective and Preventive Actions</w:t>
      </w:r>
    </w:p>
    <w:p w:rsidR="00000000" w:rsidDel="00000000" w:rsidP="00000000" w:rsidRDefault="00000000" w:rsidRPr="00000000" w14:paraId="00000018">
      <w:pPr>
        <w:spacing w:after="120" w:line="360" w:lineRule="auto"/>
        <w:rPr>
          <w:color w:val="000000"/>
        </w:rPr>
      </w:pPr>
      <w:r w:rsidDel="00000000" w:rsidR="00000000" w:rsidRPr="00000000">
        <w:rPr>
          <w:color w:val="000000"/>
          <w:rtl w:val="0"/>
        </w:rPr>
        <w:t xml:space="preserve">When issues are identified—whether through inspections, audits, or incident reporting, GAS &amp; GREEN ENERGY responds with a defined corrective and preventive action process:</w:t>
      </w:r>
    </w:p>
    <w:p w:rsidR="00000000" w:rsidDel="00000000" w:rsidP="00000000" w:rsidRDefault="00000000" w:rsidRPr="00000000" w14:paraId="00000019">
      <w:pPr>
        <w:numPr>
          <w:ilvl w:val="0"/>
          <w:numId w:val="3"/>
        </w:numPr>
        <w:spacing w:after="120" w:line="360" w:lineRule="auto"/>
        <w:ind w:left="720" w:hanging="360"/>
        <w:rPr>
          <w:color w:val="000000"/>
        </w:rPr>
      </w:pPr>
      <w:r w:rsidDel="00000000" w:rsidR="00000000" w:rsidRPr="00000000">
        <w:rPr>
          <w:color w:val="000000"/>
          <w:rtl w:val="0"/>
        </w:rPr>
        <w:t xml:space="preserve">Root Cause Analysis: Conducted using a structured approach (e.g., 5 Whys or fishbone diagram) to understand the underlying cause of any non-compliance.</w:t>
      </w:r>
    </w:p>
    <w:p w:rsidR="00000000" w:rsidDel="00000000" w:rsidP="00000000" w:rsidRDefault="00000000" w:rsidRPr="00000000" w14:paraId="0000001A">
      <w:pPr>
        <w:numPr>
          <w:ilvl w:val="0"/>
          <w:numId w:val="3"/>
        </w:numPr>
        <w:spacing w:after="120" w:line="360" w:lineRule="auto"/>
        <w:ind w:left="720" w:hanging="360"/>
        <w:rPr>
          <w:color w:val="000000"/>
        </w:rPr>
      </w:pPr>
      <w:r w:rsidDel="00000000" w:rsidR="00000000" w:rsidRPr="00000000">
        <w:rPr>
          <w:color w:val="000000"/>
          <w:rtl w:val="0"/>
        </w:rPr>
        <w:t xml:space="preserve">Action Planning: Assigned to relevant team members with specific responsibilities and deadlines for implementation.</w:t>
      </w:r>
    </w:p>
    <w:p w:rsidR="00000000" w:rsidDel="00000000" w:rsidP="00000000" w:rsidRDefault="00000000" w:rsidRPr="00000000" w14:paraId="0000001B">
      <w:pPr>
        <w:numPr>
          <w:ilvl w:val="0"/>
          <w:numId w:val="3"/>
        </w:numPr>
        <w:spacing w:after="120" w:line="360" w:lineRule="auto"/>
        <w:ind w:left="720" w:hanging="360"/>
        <w:rPr>
          <w:color w:val="000000"/>
        </w:rPr>
      </w:pPr>
      <w:r w:rsidDel="00000000" w:rsidR="00000000" w:rsidRPr="00000000">
        <w:rPr>
          <w:color w:val="000000"/>
          <w:rtl w:val="0"/>
        </w:rPr>
        <w:t xml:space="preserve">Follow-up Checks: Completed to ensure that corrective actions have been implemented effectively and the issue does not recur.</w:t>
      </w:r>
    </w:p>
    <w:p w:rsidR="00000000" w:rsidDel="00000000" w:rsidP="00000000" w:rsidRDefault="00000000" w:rsidRPr="00000000" w14:paraId="0000001C">
      <w:pPr>
        <w:numPr>
          <w:ilvl w:val="0"/>
          <w:numId w:val="3"/>
        </w:numPr>
        <w:spacing w:after="120" w:line="360" w:lineRule="auto"/>
        <w:ind w:left="720" w:hanging="360"/>
        <w:rPr>
          <w:color w:val="000000"/>
        </w:rPr>
      </w:pPr>
      <w:r w:rsidDel="00000000" w:rsidR="00000000" w:rsidRPr="00000000">
        <w:rPr>
          <w:color w:val="000000"/>
          <w:rtl w:val="0"/>
        </w:rPr>
        <w:t xml:space="preserve">Training Refreshers: Where necessary, additional training or toolbox talks are conducted to reinforce environmental standards and raise awareness of lessons learned.</w:t>
      </w:r>
    </w:p>
    <w:p w:rsidR="00000000" w:rsidDel="00000000" w:rsidP="00000000" w:rsidRDefault="00000000" w:rsidRPr="00000000" w14:paraId="0000001D">
      <w:pPr>
        <w:spacing w:after="120" w:line="360" w:lineRule="auto"/>
        <w:rPr>
          <w:color w:val="00000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E">
      <w:pPr>
        <w:spacing w:after="120" w:line="360" w:lineRule="auto"/>
        <w:rPr>
          <w:b w:val="1"/>
          <w:color w:val="000000"/>
        </w:rPr>
      </w:pPr>
      <w:r w:rsidDel="00000000" w:rsidR="00000000" w:rsidRPr="00000000">
        <w:rPr>
          <w:b w:val="1"/>
          <w:color w:val="000000"/>
          <w:rtl w:val="0"/>
        </w:rPr>
        <w:t xml:space="preserve">5. Continual Improvement and Best Practice Integration</w:t>
      </w:r>
    </w:p>
    <w:p w:rsidR="00000000" w:rsidDel="00000000" w:rsidP="00000000" w:rsidRDefault="00000000" w:rsidRPr="00000000" w14:paraId="0000001F">
      <w:pPr>
        <w:spacing w:after="120" w:line="360" w:lineRule="auto"/>
        <w:rPr>
          <w:color w:val="000000"/>
        </w:rPr>
      </w:pPr>
      <w:r w:rsidDel="00000000" w:rsidR="00000000" w:rsidRPr="00000000">
        <w:rPr>
          <w:color w:val="000000"/>
          <w:rtl w:val="0"/>
        </w:rPr>
        <w:t xml:space="preserve">To remain at the forefront of environmental management in the construction industry, GAS &amp; GREEN ENERGY commits to the following:</w:t>
      </w:r>
    </w:p>
    <w:p w:rsidR="00000000" w:rsidDel="00000000" w:rsidP="00000000" w:rsidRDefault="00000000" w:rsidRPr="00000000" w14:paraId="00000020">
      <w:pPr>
        <w:numPr>
          <w:ilvl w:val="0"/>
          <w:numId w:val="4"/>
        </w:numPr>
        <w:spacing w:after="120" w:line="360" w:lineRule="auto"/>
        <w:ind w:left="720" w:hanging="360"/>
        <w:rPr>
          <w:color w:val="000000"/>
        </w:rPr>
      </w:pPr>
      <w:r w:rsidDel="00000000" w:rsidR="00000000" w:rsidRPr="00000000">
        <w:rPr>
          <w:color w:val="000000"/>
          <w:rtl w:val="0"/>
        </w:rPr>
        <w:t xml:space="preserve">Policy and Procedure Updates: Environmental management policies are reviewed annually and updated in response to changes in legislation or industry guidance (e.g., Environment Act 2021, Defra waste strategy, CIRIA guidance).</w:t>
      </w:r>
    </w:p>
    <w:p w:rsidR="00000000" w:rsidDel="00000000" w:rsidP="00000000" w:rsidRDefault="00000000" w:rsidRPr="00000000" w14:paraId="00000021">
      <w:pPr>
        <w:numPr>
          <w:ilvl w:val="0"/>
          <w:numId w:val="4"/>
        </w:numPr>
        <w:spacing w:after="120" w:line="360" w:lineRule="auto"/>
        <w:ind w:left="720" w:hanging="360"/>
        <w:rPr>
          <w:color w:val="000000"/>
        </w:rPr>
      </w:pPr>
      <w:r w:rsidDel="00000000" w:rsidR="00000000" w:rsidRPr="00000000">
        <w:rPr>
          <w:color w:val="000000"/>
          <w:rtl w:val="0"/>
        </w:rPr>
        <w:t xml:space="preserve">Benchmarking and Learning: GAS &amp; GREEN ENERGY compares its environmental performance to industry benchmarks and incorporates best practice from sources such as WRAP, the Considerate Constructors Scheme, and Supply Chain Sustainability School.</w:t>
      </w:r>
    </w:p>
    <w:p w:rsidR="00000000" w:rsidDel="00000000" w:rsidP="00000000" w:rsidRDefault="00000000" w:rsidRPr="00000000" w14:paraId="00000022">
      <w:pPr>
        <w:numPr>
          <w:ilvl w:val="0"/>
          <w:numId w:val="4"/>
        </w:numPr>
        <w:spacing w:after="120" w:line="360" w:lineRule="auto"/>
        <w:ind w:left="720" w:hanging="360"/>
        <w:rPr>
          <w:color w:val="000000"/>
        </w:rPr>
      </w:pPr>
      <w:r w:rsidDel="00000000" w:rsidR="00000000" w:rsidRPr="00000000">
        <w:rPr>
          <w:color w:val="000000"/>
          <w:rtl w:val="0"/>
        </w:rPr>
        <w:t xml:space="preserve">Sustainable Procurement Review: We routinely assess the environmental credentials of suppliers, encouraging use of recycled or lower-carbon materials and products with Environmental Product Declarations (EPDs).</w:t>
      </w:r>
    </w:p>
    <w:p w:rsidR="00000000" w:rsidDel="00000000" w:rsidP="00000000" w:rsidRDefault="00000000" w:rsidRPr="00000000" w14:paraId="00000023">
      <w:pPr>
        <w:numPr>
          <w:ilvl w:val="0"/>
          <w:numId w:val="4"/>
        </w:numPr>
        <w:spacing w:after="120" w:line="360" w:lineRule="auto"/>
        <w:ind w:left="720" w:hanging="360"/>
        <w:rPr>
          <w:color w:val="000000"/>
        </w:rPr>
      </w:pPr>
      <w:r w:rsidDel="00000000" w:rsidR="00000000" w:rsidRPr="00000000">
        <w:rPr>
          <w:color w:val="000000"/>
          <w:rtl w:val="0"/>
        </w:rPr>
        <w:t xml:space="preserve">Technology and Innovation: Adoption of energy-efficient tools, hybrid vehicles, digital project management systems, and paperless reporting have all contributed to lowering our environmental impact.</w:t>
      </w:r>
    </w:p>
    <w:p w:rsidR="00000000" w:rsidDel="00000000" w:rsidP="00000000" w:rsidRDefault="00000000" w:rsidRPr="00000000" w14:paraId="00000024">
      <w:pPr>
        <w:spacing w:after="120" w:line="360" w:lineRule="auto"/>
        <w:rPr>
          <w:color w:val="00000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5">
      <w:pPr>
        <w:spacing w:after="120" w:line="360" w:lineRule="auto"/>
        <w:rPr>
          <w:b w:val="1"/>
          <w:color w:val="000000"/>
        </w:rPr>
      </w:pPr>
      <w:r w:rsidDel="00000000" w:rsidR="00000000" w:rsidRPr="00000000">
        <w:rPr>
          <w:b w:val="1"/>
          <w:color w:val="000000"/>
          <w:rtl w:val="0"/>
        </w:rPr>
        <w:t xml:space="preserve">6. Reporting and Communication</w:t>
      </w:r>
    </w:p>
    <w:p w:rsidR="00000000" w:rsidDel="00000000" w:rsidP="00000000" w:rsidRDefault="00000000" w:rsidRPr="00000000" w14:paraId="00000026">
      <w:pPr>
        <w:spacing w:after="120" w:line="360" w:lineRule="auto"/>
        <w:rPr>
          <w:color w:val="000000"/>
        </w:rPr>
      </w:pPr>
      <w:r w:rsidDel="00000000" w:rsidR="00000000" w:rsidRPr="00000000">
        <w:rPr>
          <w:color w:val="000000"/>
          <w:rtl w:val="0"/>
        </w:rPr>
        <w:t xml:space="preserve">Environmental performance and improvement measures are communicated internally and externally:</w:t>
      </w:r>
    </w:p>
    <w:p w:rsidR="00000000" w:rsidDel="00000000" w:rsidP="00000000" w:rsidRDefault="00000000" w:rsidRPr="00000000" w14:paraId="00000027">
      <w:pPr>
        <w:numPr>
          <w:ilvl w:val="0"/>
          <w:numId w:val="5"/>
        </w:numPr>
        <w:spacing w:after="120" w:line="360" w:lineRule="auto"/>
        <w:ind w:left="720" w:hanging="360"/>
        <w:rPr>
          <w:color w:val="000000"/>
        </w:rPr>
      </w:pPr>
      <w:r w:rsidDel="00000000" w:rsidR="00000000" w:rsidRPr="00000000">
        <w:rPr>
          <w:color w:val="000000"/>
          <w:rtl w:val="0"/>
        </w:rPr>
        <w:t xml:space="preserve">Internal Briefings and Reports: Performance data is shared with staff via monthly briefings and quarterly performance summaries.</w:t>
      </w:r>
    </w:p>
    <w:p w:rsidR="00000000" w:rsidDel="00000000" w:rsidP="00000000" w:rsidRDefault="00000000" w:rsidRPr="00000000" w14:paraId="00000028">
      <w:pPr>
        <w:numPr>
          <w:ilvl w:val="0"/>
          <w:numId w:val="5"/>
        </w:numPr>
        <w:spacing w:after="120" w:line="360" w:lineRule="auto"/>
        <w:ind w:left="720" w:hanging="360"/>
        <w:rPr>
          <w:color w:val="000000"/>
        </w:rPr>
      </w:pPr>
      <w:r w:rsidDel="00000000" w:rsidR="00000000" w:rsidRPr="00000000">
        <w:rPr>
          <w:color w:val="000000"/>
          <w:rtl w:val="0"/>
        </w:rPr>
        <w:t xml:space="preserve">Client Reporting: Environmental KPIs, achievements, and improvement measures are communicated in project progress reports and end-of-project evaluations.</w:t>
      </w:r>
    </w:p>
    <w:p w:rsidR="00000000" w:rsidDel="00000000" w:rsidP="00000000" w:rsidRDefault="00000000" w:rsidRPr="00000000" w14:paraId="00000029">
      <w:pPr>
        <w:numPr>
          <w:ilvl w:val="0"/>
          <w:numId w:val="5"/>
        </w:numPr>
        <w:spacing w:after="120" w:line="360" w:lineRule="auto"/>
        <w:ind w:left="720" w:hanging="360"/>
        <w:rPr>
          <w:color w:val="000000"/>
        </w:rPr>
      </w:pPr>
      <w:r w:rsidDel="00000000" w:rsidR="00000000" w:rsidRPr="00000000">
        <w:rPr>
          <w:color w:val="000000"/>
          <w:rtl w:val="0"/>
        </w:rPr>
        <w:t xml:space="preserve">Public Accountability: Where applicable, GAS &amp; GREEN ENERGY discloses performance data through third-party assessment frameworks such as Constructionline, CHAS, and local authority frameworks.</w:t>
      </w:r>
    </w:p>
    <w:p w:rsidR="00000000" w:rsidDel="00000000" w:rsidP="00000000" w:rsidRDefault="00000000" w:rsidRPr="00000000" w14:paraId="0000002A">
      <w:pPr>
        <w:spacing w:after="120" w:line="360" w:lineRule="auto"/>
        <w:rPr>
          <w:color w:val="00000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B">
      <w:pPr>
        <w:spacing w:after="120" w:line="360" w:lineRule="auto"/>
        <w:rPr>
          <w:b w:val="1"/>
          <w:color w:val="000000"/>
        </w:rPr>
      </w:pPr>
      <w:r w:rsidDel="00000000" w:rsidR="00000000" w:rsidRPr="00000000">
        <w:rPr>
          <w:rtl w:val="0"/>
        </w:rPr>
      </w:r>
    </w:p>
    <w:p w:rsidR="00000000" w:rsidDel="00000000" w:rsidP="00000000" w:rsidRDefault="00000000" w:rsidRPr="00000000" w14:paraId="0000002C">
      <w:pPr>
        <w:spacing w:after="120" w:line="360" w:lineRule="auto"/>
        <w:rPr>
          <w:b w:val="1"/>
          <w:color w:val="000000"/>
        </w:rPr>
      </w:pPr>
      <w:r w:rsidDel="00000000" w:rsidR="00000000" w:rsidRPr="00000000">
        <w:rPr>
          <w:rtl w:val="0"/>
        </w:rPr>
      </w:r>
    </w:p>
    <w:p w:rsidR="00000000" w:rsidDel="00000000" w:rsidP="00000000" w:rsidRDefault="00000000" w:rsidRPr="00000000" w14:paraId="0000002D">
      <w:pPr>
        <w:spacing w:after="120" w:line="360" w:lineRule="auto"/>
        <w:rPr>
          <w:b w:val="1"/>
          <w:color w:val="000000"/>
        </w:rPr>
      </w:pPr>
      <w:r w:rsidDel="00000000" w:rsidR="00000000" w:rsidRPr="00000000">
        <w:rPr>
          <w:b w:val="1"/>
          <w:color w:val="000000"/>
          <w:rtl w:val="0"/>
        </w:rPr>
        <w:t xml:space="preserve">7. Conclusion</w:t>
      </w:r>
    </w:p>
    <w:p w:rsidR="00000000" w:rsidDel="00000000" w:rsidP="00000000" w:rsidRDefault="00000000" w:rsidRPr="00000000" w14:paraId="0000002E">
      <w:pPr>
        <w:spacing w:after="120" w:line="360" w:lineRule="auto"/>
        <w:rPr>
          <w:color w:val="000000"/>
        </w:rPr>
      </w:pPr>
      <w:r w:rsidDel="00000000" w:rsidR="00000000" w:rsidRPr="00000000">
        <w:rPr>
          <w:color w:val="000000"/>
          <w:rtl w:val="0"/>
        </w:rPr>
        <w:t xml:space="preserve">GAS &amp; GREEN ENERGY recognises that robust environmental management is not a one-time effort but an ongoing responsibility. Through active monitoring, structured review, and targeted improvements, GAS &amp; GREEN ENERGY ensures that we continually reduce our environmental impact and deliver projects in line with the highest sustainability and compliance standards.</w:t>
      </w:r>
    </w:p>
    <w:p w:rsidR="00000000" w:rsidDel="00000000" w:rsidP="00000000" w:rsidRDefault="00000000" w:rsidRPr="00000000" w14:paraId="0000002F">
      <w:pPr>
        <w:spacing w:after="120" w:line="360" w:lineRule="auto"/>
        <w:rPr>
          <w:color w:val="000000"/>
        </w:rPr>
      </w:pPr>
      <w:r w:rsidDel="00000000" w:rsidR="00000000" w:rsidRPr="00000000">
        <w:rPr>
          <w:color w:val="000000"/>
          <w:rtl w:val="0"/>
        </w:rPr>
        <w:t xml:space="preserve">This policy is reviewed annually by the Director and is subject to audit and continual development.</w:t>
      </w:r>
    </w:p>
    <w:p w:rsidR="00000000" w:rsidDel="00000000" w:rsidP="00000000" w:rsidRDefault="00000000" w:rsidRPr="00000000" w14:paraId="00000030">
      <w:pPr>
        <w:spacing w:after="120" w:line="360" w:lineRule="auto"/>
        <w:rPr>
          <w:color w:val="00000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1">
      <w:pPr>
        <w:spacing w:after="120" w:line="360" w:lineRule="auto"/>
        <w:rPr>
          <w:color w:val="000000"/>
        </w:rPr>
      </w:pPr>
      <w:r w:rsidDel="00000000" w:rsidR="00000000" w:rsidRPr="00000000">
        <w:rPr>
          <w:color w:val="000000"/>
          <w:rtl w:val="0"/>
        </w:rPr>
        <w:t xml:space="preserve">Approved by:</w:t>
      </w:r>
    </w:p>
    <w:p w:rsidR="00000000" w:rsidDel="00000000" w:rsidP="00000000" w:rsidRDefault="00000000" w:rsidRPr="00000000" w14:paraId="00000032">
      <w:pPr>
        <w:spacing w:after="120" w:line="360" w:lineRule="auto"/>
        <w:rPr>
          <w:rFonts w:ascii="Aptos" w:cs="Aptos" w:eastAsia="Aptos" w:hAnsi="Aptos"/>
          <w:b w:val="1"/>
        </w:rPr>
      </w:pPr>
      <w:r w:rsidDel="00000000" w:rsidR="00000000" w:rsidRPr="00000000">
        <w:rPr>
          <w:color w:val="000000"/>
          <w:rtl w:val="0"/>
        </w:rPr>
        <w:br w:type="textWrapping"/>
        <w:t xml:space="preserve">George Browning, Director</w:t>
        <w:br w:type="textWrapping"/>
        <w:t xml:space="preserve">Next Review Date: January 2026</w:t>
        <w:br w:type="textWrapping"/>
      </w:r>
      <w:r w:rsidDel="00000000" w:rsidR="00000000" w:rsidRPr="00000000">
        <w:rPr>
          <w:color w:val="000000"/>
          <w:sz w:val="20"/>
          <w:szCs w:val="20"/>
          <w:rtl w:val="0"/>
        </w:rPr>
        <w:t xml:space="preserve">Gas &amp; Green Energy Ltd (GAS &amp; GREEN ENERGY)</w:t>
      </w:r>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sectPr>
      <w:headerReference r:id="rId8" w:type="default"/>
      <w:footerReference r:id="rId9" w:type="default"/>
      <w:pgSz w:h="16838" w:w="11906" w:orient="portrait"/>
      <w:pgMar w:bottom="1418" w:top="2268" w:left="1134" w:right="113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rial" w:cs="Arial" w:eastAsia="Arial" w:hAnsi="Arial"/>
        <w:sz w:val="16"/>
        <w:szCs w:val="16"/>
        <w:rtl w:val="0"/>
      </w:rPr>
      <w:t xml:space="preserve">Gasandgreen Environmental Management Performance Review Policy</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-862329</wp:posOffset>
              </wp:positionH>
              <wp:positionV relativeFrom="paragraph">
                <wp:posOffset>-398144</wp:posOffset>
              </wp:positionV>
              <wp:extent cx="7400925" cy="1374140"/>
              <wp:effectExtent b="0" l="0" r="0" t="0"/>
              <wp:wrapNone/>
              <wp:docPr id="1737997663" name=""/>
              <a:graphic>
                <a:graphicData uri="http://schemas.microsoft.com/office/word/2010/wordprocessingGroup">
                  <wpg:wgp>
                    <wpg:cNvGrpSpPr/>
                    <wpg:grpSpPr>
                      <a:xfrm>
                        <a:off x="1645525" y="3092925"/>
                        <a:ext cx="7400925" cy="1374140"/>
                        <a:chOff x="1645525" y="3092925"/>
                        <a:chExt cx="7400950" cy="1374150"/>
                      </a:xfrm>
                    </wpg:grpSpPr>
                    <wpg:grpSp>
                      <wpg:cNvGrpSpPr/>
                      <wpg:grpSpPr>
                        <a:xfrm>
                          <a:off x="1645538" y="3092930"/>
                          <a:ext cx="7400925" cy="1374140"/>
                          <a:chOff x="-102530" y="-50577"/>
                          <a:chExt cx="6128103" cy="1216407"/>
                        </a:xfrm>
                      </wpg:grpSpPr>
                      <wps:wsp>
                        <wps:cNvSpPr/>
                        <wps:cNvPr id="4" name="Shape 4"/>
                        <wps:spPr>
                          <a:xfrm>
                            <a:off x="-102530" y="-50577"/>
                            <a:ext cx="6128100" cy="1216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02530" y="-50577"/>
                            <a:ext cx="6128103" cy="1091677"/>
                            <a:chOff x="-102530" y="-50577"/>
                            <a:chExt cx="6128103" cy="1091677"/>
                          </a:xfrm>
                        </wpg:grpSpPr>
                        <wpg:grpSp>
                          <wpg:cNvGrpSpPr/>
                          <wpg:grpSpPr>
                            <a:xfrm>
                              <a:off x="-102530" y="-50577"/>
                              <a:ext cx="3805358" cy="1091677"/>
                              <a:chOff x="-102530" y="-50577"/>
                              <a:chExt cx="3805358" cy="1091677"/>
                            </a:xfrm>
                          </wpg:grpSpPr>
                          <pic:pic>
                            <pic:nvPicPr>
                              <pic:cNvPr descr="A green and white background with text&#10;&#10;AI-generated content may be incorrect." id="7" name="Shape 7"/>
                              <pic:cNvPicPr preferRelativeResize="0"/>
                            </pic:nvPicPr>
                            <pic:blipFill rotWithShape="1">
                              <a:blip r:embed="rId1">
                                <a:alphaModFix/>
                              </a:blip>
                              <a:srcRect b="0" l="0" r="27861" t="0"/>
                              <a:stretch/>
                            </pic:blipFill>
                            <pic:spPr>
                              <a:xfrm>
                                <a:off x="-102530" y="-50577"/>
                                <a:ext cx="3355866" cy="1091677"/>
                              </a:xfrm>
                              <a:prstGeom prst="rect">
                                <a:avLst/>
                              </a:prstGeom>
                              <a:noFill/>
                              <a:ln>
                                <a:noFill/>
                              </a:ln>
                            </pic:spPr>
                          </pic:pic>
                          <wps:wsp>
                            <wps:cNvSpPr/>
                            <wps:cNvPr id="8" name="Shape 8"/>
                            <wps:spPr>
                              <a:xfrm>
                                <a:off x="2197878" y="21640"/>
                                <a:ext cx="1504950" cy="552450"/>
                              </a:xfrm>
                              <a:prstGeom prst="ellipse">
                                <a:avLst/>
                              </a:prstGeom>
                              <a:solidFill>
                                <a:schemeClr val="lt1"/>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s:wsp>
                          <wps:cNvSpPr/>
                          <wps:cNvPr id="9" name="Shape 9"/>
                          <wps:spPr>
                            <a:xfrm>
                              <a:off x="4652963" y="37487"/>
                              <a:ext cx="1223963" cy="552450"/>
                            </a:xfrm>
                            <a:prstGeom prst="ellipse">
                              <a:avLst/>
                            </a:prstGeom>
                            <a:solidFill>
                              <a:schemeClr val="lt1"/>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ptos" w:cs="Aptos" w:eastAsia="Aptos" w:hAnsi="Aptos"/>
                                    <w:b w:val="0"/>
                                    <w:i w:val="0"/>
                                    <w:smallCaps w:val="0"/>
                                    <w:strike w:val="0"/>
                                    <w:color w:val="000000"/>
                                    <w:sz w:val="22"/>
                                    <w:vertAlign w:val="baseline"/>
                                  </w:rPr>
                                  <w:t xml:space="preserve">Un</w:t>
                                </w:r>
                              </w:p>
                            </w:txbxContent>
                          </wps:txbx>
                          <wps:bodyPr anchorCtr="0" anchor="ctr" bIns="45700" lIns="91425" spcFirstLastPara="1" rIns="91425" wrap="square" tIns="45700">
                            <a:noAutofit/>
                          </wps:bodyPr>
                        </wps:wsp>
                        <wps:wsp>
                          <wps:cNvSpPr/>
                          <wps:cNvPr id="10" name="Shape 10"/>
                          <wps:spPr>
                            <a:xfrm>
                              <a:off x="2921578" y="-50577"/>
                              <a:ext cx="3103995" cy="505783"/>
                            </a:xfrm>
                            <a:prstGeom prst="rect">
                              <a:avLst/>
                            </a:prstGeom>
                            <a:noFill/>
                            <a:ln>
                              <a:noFill/>
                            </a:ln>
                          </wps:spPr>
                          <wps:txbx>
                            <w:txbxContent>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0"/>
                                    <w:i w:val="0"/>
                                    <w:smallCaps w:val="0"/>
                                    <w:strike w:val="0"/>
                                    <w:color w:val="12501a"/>
                                    <w:sz w:val="14"/>
                                    <w:vertAlign w:val="baseline"/>
                                  </w:rPr>
                                  <w:br w:type="textWrapping"/>
                                </w:r>
                                <w:r w:rsidDel="00000000" w:rsidR="00000000" w:rsidRPr="00000000">
                                  <w:rPr>
                                    <w:rFonts w:ascii="Arial" w:cs="Arial" w:eastAsia="Arial" w:hAnsi="Arial"/>
                                    <w:b w:val="0"/>
                                    <w:i w:val="0"/>
                                    <w:smallCaps w:val="0"/>
                                    <w:strike w:val="0"/>
                                    <w:color w:val="12501a"/>
                                    <w:sz w:val="16"/>
                                    <w:vertAlign w:val="baseline"/>
                                  </w:rPr>
                                  <w:t xml:space="preserve">Unit 25, The Tanneries, Brockhampton Lane, Havant. PO9 1JB</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0"/>
                                    <w:i w:val="0"/>
                                    <w:smallCaps w:val="0"/>
                                    <w:strike w:val="0"/>
                                    <w:color w:val="12501a"/>
                                    <w:sz w:val="16"/>
                                    <w:vertAlign w:val="baseline"/>
                                  </w:rPr>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0"/>
                                    <w:i w:val="0"/>
                                    <w:smallCaps w:val="0"/>
                                    <w:strike w:val="0"/>
                                    <w:color w:val="12501a"/>
                                    <w:sz w:val="16"/>
                                    <w:vertAlign w:val="baseline"/>
                                  </w:rPr>
                                </w:r>
                                <w:r w:rsidDel="00000000" w:rsidR="00000000" w:rsidRPr="00000000">
                                  <w:rPr>
                                    <w:rFonts w:ascii="Arial" w:cs="Arial" w:eastAsia="Arial" w:hAnsi="Arial"/>
                                    <w:b w:val="0"/>
                                    <w:i w:val="0"/>
                                    <w:smallCaps w:val="0"/>
                                    <w:strike w:val="0"/>
                                    <w:color w:val="12501a"/>
                                    <w:sz w:val="16"/>
                                    <w:vertAlign w:val="baseline"/>
                                  </w:rPr>
                                  <w:t xml:space="preserve">01243 370934</w:t>
                                </w:r>
                              </w:p>
                            </w:txbxContent>
                          </wps:txbx>
                          <wps:bodyPr anchorCtr="0" anchor="t" bIns="45700" lIns="91425" spcFirstLastPara="1" rIns="91425" wrap="square" tIns="45700">
                            <a:noAutofit/>
                          </wps:bodyPr>
                        </wps:wsp>
                      </wpg:grpSp>
                      <wps:wsp>
                        <wps:cNvSpPr/>
                        <wps:cNvPr id="11" name="Shape 11"/>
                        <wps:spPr>
                          <a:xfrm>
                            <a:off x="4282498" y="518429"/>
                            <a:ext cx="1743075" cy="647401"/>
                          </a:xfrm>
                          <a:prstGeom prst="rect">
                            <a:avLst/>
                          </a:prstGeom>
                          <a:noFill/>
                          <a:ln>
                            <a:noFill/>
                          </a:ln>
                        </wps:spPr>
                        <wps:txbx>
                          <w:txbxContent>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0"/>
                                  <w:i w:val="0"/>
                                  <w:smallCaps w:val="0"/>
                                  <w:strike w:val="0"/>
                                  <w:color w:val="12501a"/>
                                  <w:sz w:val="14"/>
                                  <w:vertAlign w:val="baseline"/>
                                </w:rPr>
                                <w:t xml:space="preserve">Company Reg No: 14287147</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0"/>
                                  <w:i w:val="0"/>
                                  <w:smallCaps w:val="0"/>
                                  <w:strike w:val="0"/>
                                  <w:color w:val="12501a"/>
                                  <w:sz w:val="14"/>
                                  <w:vertAlign w:val="baseline"/>
                                </w:rPr>
                              </w:r>
                              <w:r w:rsidDel="00000000" w:rsidR="00000000" w:rsidRPr="00000000">
                                <w:rPr>
                                  <w:rFonts w:ascii="Arial" w:cs="Arial" w:eastAsia="Arial" w:hAnsi="Arial"/>
                                  <w:b w:val="0"/>
                                  <w:i w:val="0"/>
                                  <w:smallCaps w:val="0"/>
                                  <w:strike w:val="0"/>
                                  <w:color w:val="12501a"/>
                                  <w:sz w:val="14"/>
                                  <w:vertAlign w:val="baseline"/>
                                </w:rPr>
                                <w:br w:type="textWrapping"/>
                              </w:r>
                              <w:r w:rsidDel="00000000" w:rsidR="00000000" w:rsidRPr="00000000">
                                <w:rPr>
                                  <w:rFonts w:ascii="Arial" w:cs="Arial" w:eastAsia="Arial" w:hAnsi="Arial"/>
                                  <w:b w:val="0"/>
                                  <w:i w:val="0"/>
                                  <w:smallCaps w:val="0"/>
                                  <w:strike w:val="0"/>
                                  <w:color w:val="12501a"/>
                                  <w:sz w:val="14"/>
                                  <w:vertAlign w:val="baseline"/>
                                </w:rPr>
                                <w:t xml:space="preserve">VAT number: 425926775</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12501a"/>
                                  <w:sz w:val="14"/>
                                  <w:vertAlign w:val="baseline"/>
                                </w:rPr>
                              </w:r>
                            </w:p>
                          </w:txbxContent>
                        </wps:txbx>
                        <wps:bodyPr anchorCtr="0" anchor="t" bIns="45700" lIns="91425" spcFirstLastPara="1" rIns="91425" wrap="square" tIns="45700">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-862329</wp:posOffset>
              </wp:positionH>
              <wp:positionV relativeFrom="paragraph">
                <wp:posOffset>-398144</wp:posOffset>
              </wp:positionV>
              <wp:extent cx="7400925" cy="1374140"/>
              <wp:effectExtent b="0" l="0" r="0" t="0"/>
              <wp:wrapNone/>
              <wp:docPr id="1737997663"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7400925" cy="1374140"/>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259"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259"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259" w:lineRule="auto"/>
    </w:pPr>
    <w:rPr>
      <w:color w:val="0f4761"/>
      <w:sz w:val="28"/>
      <w:szCs w:val="28"/>
    </w:rPr>
  </w:style>
  <w:style w:type="paragraph" w:styleId="Heading4">
    <w:name w:val="heading 4"/>
    <w:basedOn w:val="Normal"/>
    <w:next w:val="Normal"/>
    <w:pPr>
      <w:keepNext w:val="1"/>
      <w:keepLines w:val="1"/>
      <w:spacing w:after="40" w:before="80" w:line="259" w:lineRule="auto"/>
    </w:pPr>
    <w:rPr>
      <w:i w:val="1"/>
      <w:color w:val="0f4761"/>
    </w:rPr>
  </w:style>
  <w:style w:type="paragraph" w:styleId="Heading5">
    <w:name w:val="heading 5"/>
    <w:basedOn w:val="Normal"/>
    <w:next w:val="Normal"/>
    <w:pPr>
      <w:keepNext w:val="1"/>
      <w:keepLines w:val="1"/>
      <w:spacing w:after="40" w:before="80" w:line="259" w:lineRule="auto"/>
    </w:pPr>
    <w:rPr>
      <w:color w:val="0f4761"/>
    </w:rPr>
  </w:style>
  <w:style w:type="paragraph" w:styleId="Heading6">
    <w:name w:val="heading 6"/>
    <w:basedOn w:val="Normal"/>
    <w:next w:val="Normal"/>
    <w:pPr>
      <w:keepNext w:val="1"/>
      <w:keepLines w:val="1"/>
      <w:spacing w:before="40" w:line="259"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C55E1B"/>
    <w:pPr>
      <w:keepNext w:val="1"/>
      <w:keepLines w:val="1"/>
      <w:spacing w:before="40" w:line="259" w:lineRule="auto"/>
      <w:outlineLvl w:val="6"/>
    </w:pPr>
    <w:rPr>
      <w:rFonts w:cstheme="majorBidi" w:eastAsiaTheme="majorEastAsia"/>
      <w:color w:val="595959" w:themeColor="text1" w:themeTint="0000A6"/>
      <w:kern w:val="2"/>
    </w:rPr>
  </w:style>
  <w:style w:type="paragraph" w:styleId="Heading8">
    <w:name w:val="heading 8"/>
    <w:basedOn w:val="Normal"/>
    <w:next w:val="Normal"/>
    <w:link w:val="Heading8Char"/>
    <w:uiPriority w:val="9"/>
    <w:semiHidden w:val="1"/>
    <w:unhideWhenUsed w:val="1"/>
    <w:qFormat w:val="1"/>
    <w:rsid w:val="00C55E1B"/>
    <w:pPr>
      <w:keepNext w:val="1"/>
      <w:keepLines w:val="1"/>
      <w:spacing w:line="259" w:lineRule="auto"/>
      <w:outlineLvl w:val="7"/>
    </w:pPr>
    <w:rPr>
      <w:rFonts w:cstheme="majorBidi" w:eastAsiaTheme="majorEastAsia"/>
      <w:i w:val="1"/>
      <w:iCs w:val="1"/>
      <w:color w:val="272727" w:themeColor="text1" w:themeTint="0000D8"/>
      <w:kern w:val="2"/>
    </w:rPr>
  </w:style>
  <w:style w:type="paragraph" w:styleId="Heading9">
    <w:name w:val="heading 9"/>
    <w:basedOn w:val="Normal"/>
    <w:next w:val="Normal"/>
    <w:link w:val="Heading9Char"/>
    <w:uiPriority w:val="9"/>
    <w:semiHidden w:val="1"/>
    <w:unhideWhenUsed w:val="1"/>
    <w:qFormat w:val="1"/>
    <w:rsid w:val="00C55E1B"/>
    <w:pPr>
      <w:keepNext w:val="1"/>
      <w:keepLines w:val="1"/>
      <w:spacing w:line="259" w:lineRule="auto"/>
      <w:outlineLvl w:val="8"/>
    </w:pPr>
    <w:rPr>
      <w:rFonts w:cstheme="majorBidi" w:eastAsiaTheme="majorEastAsia"/>
      <w:color w:val="272727" w:themeColor="text1" w:themeTint="0000D8"/>
      <w:kern w:val="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C55E1B"/>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C55E1B"/>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C55E1B"/>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C55E1B"/>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C55E1B"/>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C55E1B"/>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C55E1B"/>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C55E1B"/>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C55E1B"/>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C55E1B"/>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C55E1B"/>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C55E1B"/>
    <w:pPr>
      <w:spacing w:after="160" w:before="160" w:line="259" w:lineRule="auto"/>
      <w:jc w:val="center"/>
    </w:pPr>
    <w:rPr>
      <w:i w:val="1"/>
      <w:iCs w:val="1"/>
      <w:color w:val="404040" w:themeColor="text1" w:themeTint="0000BF"/>
      <w:kern w:val="2"/>
    </w:rPr>
  </w:style>
  <w:style w:type="character" w:styleId="QuoteChar" w:customStyle="1">
    <w:name w:val="Quote Char"/>
    <w:basedOn w:val="DefaultParagraphFont"/>
    <w:link w:val="Quote"/>
    <w:uiPriority w:val="29"/>
    <w:rsid w:val="00C55E1B"/>
    <w:rPr>
      <w:i w:val="1"/>
      <w:iCs w:val="1"/>
      <w:color w:val="404040" w:themeColor="text1" w:themeTint="0000BF"/>
    </w:rPr>
  </w:style>
  <w:style w:type="paragraph" w:styleId="ListParagraph">
    <w:name w:val="List Paragraph"/>
    <w:basedOn w:val="Normal"/>
    <w:uiPriority w:val="34"/>
    <w:qFormat w:val="1"/>
    <w:rsid w:val="00C55E1B"/>
    <w:pPr>
      <w:spacing w:after="160" w:line="259" w:lineRule="auto"/>
      <w:ind w:left="720"/>
      <w:contextualSpacing w:val="1"/>
    </w:pPr>
    <w:rPr>
      <w:kern w:val="2"/>
    </w:rPr>
  </w:style>
  <w:style w:type="character" w:styleId="IntenseEmphasis">
    <w:name w:val="Intense Emphasis"/>
    <w:basedOn w:val="DefaultParagraphFont"/>
    <w:uiPriority w:val="21"/>
    <w:qFormat w:val="1"/>
    <w:rsid w:val="00C55E1B"/>
    <w:rPr>
      <w:i w:val="1"/>
      <w:iCs w:val="1"/>
      <w:color w:val="0f4761" w:themeColor="accent1" w:themeShade="0000BF"/>
    </w:rPr>
  </w:style>
  <w:style w:type="paragraph" w:styleId="IntenseQuote">
    <w:name w:val="Intense Quote"/>
    <w:basedOn w:val="Normal"/>
    <w:next w:val="Normal"/>
    <w:link w:val="IntenseQuoteChar"/>
    <w:uiPriority w:val="30"/>
    <w:qFormat w:val="1"/>
    <w:rsid w:val="00C55E1B"/>
    <w:pPr>
      <w:pBdr>
        <w:top w:color="0f4761" w:space="10" w:sz="4" w:themeColor="accent1" w:themeShade="0000BF" w:val="single"/>
        <w:bottom w:color="0f4761" w:space="10" w:sz="4" w:themeColor="accent1" w:themeShade="0000BF" w:val="single"/>
      </w:pBdr>
      <w:spacing w:after="360" w:before="360" w:line="259" w:lineRule="auto"/>
      <w:ind w:left="864" w:right="864"/>
      <w:jc w:val="center"/>
    </w:pPr>
    <w:rPr>
      <w:i w:val="1"/>
      <w:iCs w:val="1"/>
      <w:color w:val="0f4761" w:themeColor="accent1" w:themeShade="0000BF"/>
      <w:kern w:val="2"/>
    </w:rPr>
  </w:style>
  <w:style w:type="character" w:styleId="IntenseQuoteChar" w:customStyle="1">
    <w:name w:val="Intense Quote Char"/>
    <w:basedOn w:val="DefaultParagraphFont"/>
    <w:link w:val="IntenseQuote"/>
    <w:uiPriority w:val="30"/>
    <w:rsid w:val="00C55E1B"/>
    <w:rPr>
      <w:i w:val="1"/>
      <w:iCs w:val="1"/>
      <w:color w:val="0f4761" w:themeColor="accent1" w:themeShade="0000BF"/>
    </w:rPr>
  </w:style>
  <w:style w:type="character" w:styleId="IntenseReference">
    <w:name w:val="Intense Reference"/>
    <w:basedOn w:val="DefaultParagraphFont"/>
    <w:uiPriority w:val="32"/>
    <w:qFormat w:val="1"/>
    <w:rsid w:val="00C55E1B"/>
    <w:rPr>
      <w:b w:val="1"/>
      <w:bCs w:val="1"/>
      <w:smallCaps w:val="1"/>
      <w:color w:val="0f4761" w:themeColor="accent1" w:themeShade="0000BF"/>
      <w:spacing w:val="5"/>
    </w:rPr>
  </w:style>
  <w:style w:type="paragraph" w:styleId="Header">
    <w:name w:val="header"/>
    <w:basedOn w:val="Normal"/>
    <w:link w:val="HeaderChar"/>
    <w:uiPriority w:val="99"/>
    <w:unhideWhenUsed w:val="1"/>
    <w:rsid w:val="00C55E1B"/>
    <w:pPr>
      <w:tabs>
        <w:tab w:val="center" w:pos="4513"/>
        <w:tab w:val="right" w:pos="9026"/>
      </w:tabs>
    </w:pPr>
    <w:rPr>
      <w:kern w:val="2"/>
    </w:rPr>
  </w:style>
  <w:style w:type="character" w:styleId="HeaderChar" w:customStyle="1">
    <w:name w:val="Header Char"/>
    <w:basedOn w:val="DefaultParagraphFont"/>
    <w:link w:val="Header"/>
    <w:uiPriority w:val="99"/>
    <w:rsid w:val="00C55E1B"/>
  </w:style>
  <w:style w:type="paragraph" w:styleId="Footer">
    <w:name w:val="footer"/>
    <w:basedOn w:val="Normal"/>
    <w:link w:val="FooterChar"/>
    <w:uiPriority w:val="99"/>
    <w:unhideWhenUsed w:val="1"/>
    <w:rsid w:val="00C55E1B"/>
    <w:pPr>
      <w:tabs>
        <w:tab w:val="center" w:pos="4513"/>
        <w:tab w:val="right" w:pos="9026"/>
      </w:tabs>
    </w:pPr>
    <w:rPr>
      <w:kern w:val="2"/>
    </w:rPr>
  </w:style>
  <w:style w:type="character" w:styleId="FooterChar" w:customStyle="1">
    <w:name w:val="Footer Char"/>
    <w:basedOn w:val="DefaultParagraphFont"/>
    <w:link w:val="Footer"/>
    <w:uiPriority w:val="99"/>
    <w:rsid w:val="00C55E1B"/>
  </w:style>
  <w:style w:type="paragraph" w:styleId="NoSpacing">
    <w:name w:val="No Spacing"/>
    <w:uiPriority w:val="1"/>
    <w:qFormat w:val="1"/>
    <w:rsid w:val="00181CEA"/>
    <w:pPr>
      <w:spacing w:after="0" w:line="240" w:lineRule="auto"/>
    </w:pPr>
  </w:style>
  <w:style w:type="table" w:styleId="TableGrid">
    <w:name w:val="Table Grid"/>
    <w:basedOn w:val="TableNormal"/>
    <w:uiPriority w:val="39"/>
    <w:rsid w:val="00CE543F"/>
    <w:pPr>
      <w:spacing w:after="0" w:line="240" w:lineRule="auto"/>
    </w:pPr>
    <w:rPr>
      <w:kern w:val="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spacing w:after="160" w:line="259" w:lineRule="auto"/>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ULX/NbVQ4gD+dcdi+dkomsDbHg==">CgMxLjA4AHIhMVNTdEhXcWdpR2lfY3F4UzZSUFEtRDUwcmFyemVsanNt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2025-08-28T13:00:00Z</dcterms:created>
  <dc:creator>Georgie Browning</dc:creator>
</cp:coreProperties>
</file>